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宋体" w:hAnsi="宋体" w:cs="宋体"/>
          <w:b/>
          <w:bCs/>
          <w:kern w:val="0"/>
          <w:sz w:val="24"/>
          <w:szCs w:val="24"/>
        </w:rPr>
      </w:pPr>
      <w:r>
        <w:rPr>
          <w:rFonts w:hint="eastAsia" w:ascii="宋体" w:hAnsi="宋体" w:cs="宋体"/>
          <w:b/>
          <w:bCs/>
          <w:kern w:val="0"/>
          <w:sz w:val="32"/>
          <w:szCs w:val="32"/>
        </w:rPr>
        <w:t>吉安市中心人民医院医用耗材意向招标公告</w:t>
      </w:r>
    </w:p>
    <w:p>
      <w:pPr>
        <w:widowControl/>
        <w:adjustRightInd w:val="0"/>
        <w:ind w:firstLine="480" w:firstLineChars="200"/>
        <w:rPr>
          <w:rFonts w:ascii="宋体" w:hAnsi="宋体" w:cs="宋体"/>
          <w:kern w:val="0"/>
          <w:sz w:val="24"/>
          <w:szCs w:val="24"/>
        </w:rPr>
      </w:pPr>
      <w:r>
        <w:rPr>
          <w:rFonts w:hint="eastAsia" w:ascii="宋体" w:hAnsi="宋体" w:cs="宋体"/>
          <w:kern w:val="0"/>
          <w:sz w:val="24"/>
          <w:szCs w:val="24"/>
        </w:rPr>
        <w:t>依据我院临床医疗需要，拟对下列医用耗材进行院内</w:t>
      </w:r>
      <w:r>
        <w:rPr>
          <w:rFonts w:hint="eastAsia" w:ascii="宋体" w:hAnsi="宋体" w:cs="宋体"/>
          <w:bCs/>
          <w:kern w:val="0"/>
          <w:sz w:val="24"/>
          <w:szCs w:val="24"/>
        </w:rPr>
        <w:t>招标采购，请有意参加本单位招标的生产商或供应商携带相关证件到</w:t>
      </w:r>
      <w:r>
        <w:rPr>
          <w:rFonts w:hint="eastAsia" w:ascii="宋体" w:hAnsi="宋体" w:cs="宋体"/>
          <w:bCs/>
          <w:kern w:val="0"/>
          <w:sz w:val="24"/>
          <w:szCs w:val="24"/>
          <w:lang w:val="en-US" w:eastAsia="zh-CN"/>
        </w:rPr>
        <w:t>医学装备</w:t>
      </w:r>
      <w:r>
        <w:rPr>
          <w:rFonts w:hint="eastAsia" w:ascii="宋体" w:hAnsi="宋体" w:cs="宋体"/>
          <w:bCs/>
          <w:kern w:val="0"/>
          <w:sz w:val="24"/>
          <w:szCs w:val="24"/>
        </w:rPr>
        <w:t>科报名。</w:t>
      </w:r>
    </w:p>
    <w:p>
      <w:pPr>
        <w:widowControl/>
        <w:numPr>
          <w:ilvl w:val="0"/>
          <w:numId w:val="1"/>
        </w:numPr>
        <w:adjustRightInd w:val="0"/>
        <w:rPr>
          <w:rFonts w:hint="eastAsia" w:ascii="宋体" w:hAnsi="宋体" w:cs="宋体"/>
          <w:b/>
          <w:kern w:val="0"/>
          <w:sz w:val="24"/>
          <w:szCs w:val="24"/>
        </w:rPr>
      </w:pPr>
      <w:r>
        <w:rPr>
          <w:rFonts w:hint="eastAsia" w:ascii="宋体" w:hAnsi="宋体" w:cs="宋体"/>
          <w:b/>
          <w:kern w:val="0"/>
          <w:sz w:val="24"/>
          <w:szCs w:val="24"/>
        </w:rPr>
        <w:t>采购项目内容：</w:t>
      </w:r>
    </w:p>
    <w:tbl>
      <w:tblPr>
        <w:tblStyle w:val="6"/>
        <w:tblW w:w="95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998"/>
        <w:gridCol w:w="2616"/>
        <w:gridCol w:w="4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疼痛科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一次性使用穿刺</w:t>
            </w:r>
            <w:r>
              <w:rPr>
                <w:rFonts w:hint="eastAsia" w:ascii="宋体" w:hAnsi="宋体" w:cs="宋体"/>
                <w:i w:val="0"/>
                <w:iCs w:val="0"/>
                <w:color w:val="000000"/>
                <w:kern w:val="0"/>
                <w:sz w:val="22"/>
                <w:szCs w:val="22"/>
                <w:u w:val="none"/>
                <w:lang w:val="en-US" w:eastAsia="zh-CN" w:bidi="ar"/>
              </w:rPr>
              <w:t>针</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适用于疼痛科使用的神经射频治疗仪(四川锦江VATION-5ON)一同使用,用于神经射频治疗仪的临床应用中，进行穿刺定位，建立通道，使电极针到达治疗部位。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疼痛科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一次性使用外周神经刺</w:t>
            </w:r>
            <w:r>
              <w:rPr>
                <w:rFonts w:hint="eastAsia" w:ascii="宋体" w:hAnsi="宋体" w:cs="宋体"/>
                <w:i w:val="0"/>
                <w:iCs w:val="0"/>
                <w:color w:val="000000"/>
                <w:kern w:val="0"/>
                <w:sz w:val="22"/>
                <w:szCs w:val="22"/>
                <w:u w:val="none"/>
                <w:lang w:val="en-US" w:eastAsia="zh-CN" w:bidi="ar"/>
              </w:rPr>
              <w:t>激</w:t>
            </w:r>
            <w:r>
              <w:rPr>
                <w:rFonts w:hint="eastAsia" w:ascii="宋体" w:hAnsi="宋体" w:eastAsia="宋体" w:cs="宋体"/>
                <w:i w:val="0"/>
                <w:iCs w:val="0"/>
                <w:color w:val="000000"/>
                <w:kern w:val="0"/>
                <w:sz w:val="22"/>
                <w:szCs w:val="22"/>
                <w:u w:val="none"/>
                <w:lang w:val="en-US" w:eastAsia="zh-CN" w:bidi="ar"/>
              </w:rPr>
              <w:t>针</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适用于疼痛科外周神经电刺激仪(苏云-SY708A)一同使用，和利多卡因或者肉毒毒素等配合用于神经丛阻滞麻醉，镇痛，多适用于四肢。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疼痛科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内热针治疗仪-针具</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适用于内热针治疗仪设备(深圳百士康NRZ-40R-B)一同使用;针体的发热温度可在38℃-60℃之间调节;单病人使用针具规格可选:1.1号/140mm与120mm;0.7号/140mm与120mm</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疼痛科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一次性使用塑料血袋、一次性使用输血器、一次性使用空气过滤器</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eastAsia="zh-CN"/>
              </w:rPr>
            </w:pPr>
            <w:r>
              <w:rPr>
                <w:rFonts w:hint="eastAsia"/>
                <w:sz w:val="24"/>
                <w:szCs w:val="24"/>
              </w:rPr>
              <w:t>适用于疼痛科医用臭氧治疗仪(深圳北芦PL-AB-A001)一同使用，用于三氧免疫自体血回输治疗。一次性使用空气过滤器(臭氧专用、抗氧化)一次性使用输血器(臭氧专用、抗氧化)一次性使用塑料血袋(臭氧专用、抗氧化，内含枸橼酸钠)</w:t>
            </w:r>
            <w:r>
              <w:rPr>
                <w:rFonts w:hint="eastAsia"/>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疼痛科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富血小板血浆（PRP)制备用套装</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可以在</w:t>
            </w:r>
            <w:r>
              <w:rPr>
                <w:rFonts w:hint="eastAsia" w:ascii="宋体" w:hAnsi="宋体" w:eastAsia="宋体" w:cs="宋体"/>
                <w:i w:val="0"/>
                <w:iCs w:val="0"/>
                <w:color w:val="000000"/>
                <w:sz w:val="24"/>
                <w:szCs w:val="24"/>
                <w:u w:val="none"/>
              </w:rPr>
              <w:t>山东威高富小板血浆(PRP)制备专用离心机</w:t>
            </w:r>
            <w:r>
              <w:rPr>
                <w:rFonts w:hint="eastAsia" w:ascii="宋体" w:hAnsi="宋体" w:cs="宋体"/>
                <w:i w:val="0"/>
                <w:iCs w:val="0"/>
                <w:color w:val="000000"/>
                <w:sz w:val="24"/>
                <w:szCs w:val="24"/>
                <w:u w:val="none"/>
                <w:lang w:val="en-US" w:eastAsia="zh-CN"/>
              </w:rPr>
              <w:t>上（</w:t>
            </w:r>
            <w:r>
              <w:rPr>
                <w:rFonts w:hint="eastAsia" w:ascii="宋体" w:hAnsi="宋体" w:eastAsia="宋体" w:cs="宋体"/>
                <w:i w:val="0"/>
                <w:iCs w:val="0"/>
                <w:color w:val="000000"/>
                <w:sz w:val="24"/>
                <w:szCs w:val="24"/>
                <w:u w:val="none"/>
              </w:rPr>
              <w:t>III型-40ml、III型-60ml</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配套使用，适用于神经疼痛类疾病、骨性关节炎、运动损伤、神经卡压等保守治疗以及急慢性创面手术;与医用离心机一同使用，制备PRP凝胶填塞或灌注在创面处加速愈合，缩短愈合时间，减轻患者痛苦。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功能科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阴超保护套</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rPr>
              <w:t>1、二类无菌产品(进入人体接触黏膜，必须无菌，提供相关检测报告，如:致</w:t>
            </w:r>
          </w:p>
          <w:p>
            <w:pPr>
              <w:keepNext w:val="0"/>
              <w:keepLines w:val="0"/>
              <w:widowControl/>
              <w:suppressLineNumbers w:val="0"/>
              <w:jc w:val="left"/>
              <w:textAlignment w:val="center"/>
              <w:rPr>
                <w:rFonts w:hint="eastAsia"/>
              </w:rPr>
            </w:pPr>
            <w:r>
              <w:rPr>
                <w:rFonts w:hint="eastAsia"/>
              </w:rPr>
              <w:t>敏型检测报告、细胞毒性检测报告等)</w:t>
            </w:r>
          </w:p>
          <w:p>
            <w:pPr>
              <w:keepNext w:val="0"/>
              <w:keepLines w:val="0"/>
              <w:widowControl/>
              <w:suppressLineNumbers w:val="0"/>
              <w:jc w:val="left"/>
              <w:textAlignment w:val="center"/>
              <w:rPr>
                <w:rFonts w:hint="eastAsia"/>
              </w:rPr>
            </w:pPr>
            <w:r>
              <w:rPr>
                <w:rFonts w:hint="eastAsia"/>
              </w:rPr>
              <w:t>2、由固定环和隔离膜组成(国家药监局对产品分类界定对隔离透声膜的解释规定)，隔离膜厚度≥80微米。(固定环既可以使安装套体时手不会接触套体，不污染套体，也可以在摘除套体时不接触套体，避免医生接触到患者体液，防止交叉感染，隔离膜有一定厚度才能避免套体的破裂，否则和避孕套没什么区别)3、隔离膜带润滑油(避免操作中临时加润滑油带来的交叉感染风险)。4、提供有透声率检测报告(保证超声成像质量，声透性能探测深度国家标准要</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rPr>
              <w:t>求&gt;160mm)。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康复科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一次性使用埋线辅助包</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一次性使用埋线包的配置为：可吸收外科缝线3-0 </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 xml:space="preserve"> 1.5CM*10；托盘、金属镊子、纱布叠片；一次性使用医用橡胶检查手套、薄膜手套、包布、棉球、碘伏棉球、酒精棉球，棉签、胶贴</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rPr>
              <w:t>主要用于穴位埋线时辅助使用。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2"/>
                <w:szCs w:val="22"/>
                <w:u w:val="none"/>
              </w:rPr>
              <w:t>康复科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插针式吞咽电极片（蝴蝶型）（48*86）</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适用于常州雅思牌的YS1001J吞咽神经肌肉电刺激仪(小机),主要用于吞咽障碍患者的吞咽功能训练和康复治疗。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2"/>
                <w:szCs w:val="22"/>
                <w:u w:val="none"/>
              </w:rPr>
              <w:t>泌外科</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一次性使用输尿管软镜取石套件（取石</w:t>
            </w:r>
            <w:r>
              <w:rPr>
                <w:rFonts w:hint="eastAsia" w:ascii="宋体" w:hAnsi="宋体" w:cs="宋体"/>
                <w:i w:val="0"/>
                <w:iCs w:val="0"/>
                <w:color w:val="000000"/>
                <w:sz w:val="24"/>
                <w:szCs w:val="24"/>
                <w:u w:val="none"/>
                <w:lang w:val="en-US" w:eastAsia="zh-CN"/>
              </w:rPr>
              <w:t>篮</w:t>
            </w:r>
            <w:r>
              <w:rPr>
                <w:rFonts w:hint="eastAsia" w:ascii="宋体" w:hAnsi="宋体" w:eastAsia="宋体" w:cs="宋体"/>
                <w:i w:val="0"/>
                <w:iCs w:val="0"/>
                <w:color w:val="000000"/>
                <w:sz w:val="24"/>
                <w:szCs w:val="24"/>
                <w:u w:val="none"/>
              </w:rPr>
              <w:t>型）</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只接受</w:t>
            </w:r>
            <w:r>
              <w:rPr>
                <w:rFonts w:hint="eastAsia" w:ascii="宋体" w:hAnsi="宋体" w:eastAsia="宋体" w:cs="宋体"/>
                <w:i w:val="0"/>
                <w:iCs w:val="0"/>
                <w:color w:val="000000"/>
                <w:sz w:val="24"/>
                <w:szCs w:val="24"/>
                <w:u w:val="none"/>
              </w:rPr>
              <w:t>集采</w:t>
            </w:r>
            <w:r>
              <w:rPr>
                <w:rFonts w:hint="eastAsia" w:ascii="宋体" w:hAnsi="宋体" w:cs="宋体"/>
                <w:i w:val="0"/>
                <w:iCs w:val="0"/>
                <w:color w:val="000000"/>
                <w:sz w:val="24"/>
                <w:szCs w:val="24"/>
                <w:u w:val="none"/>
                <w:lang w:val="en-US" w:eastAsia="zh-CN"/>
              </w:rPr>
              <w:t>中标产品</w:t>
            </w:r>
            <w:r>
              <w:rPr>
                <w:rFonts w:hint="eastAsia" w:ascii="宋体" w:hAnsi="宋体" w:eastAsia="宋体" w:cs="宋体"/>
                <w:i w:val="0"/>
                <w:iCs w:val="0"/>
                <w:color w:val="000000"/>
                <w:sz w:val="24"/>
                <w:szCs w:val="24"/>
                <w:u w:val="none"/>
              </w:rPr>
              <w:t>，用于内窥镜下捕获和取出输尿管结石，可以减少手术的时间，提高清石效率。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消化科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单环套扎（尼龙绳）</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适用于内镜下消化道静脉曲张出血的止血治疗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消化科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热活检钳</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适用于内镜下消化道各种类型手术的电凝止血治疗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消化科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一次性使用黏膜切开刀</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适用于黏膜下深部肿物剥离术，要求器械既有dual刀的功能又有IT刀的功能，手术过程中能直接进行切换，不用更换器械，减少更换器械的时间，进而减少手术时间，降低手术风险及并发症。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消化科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一次性使用高频切开刀</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适用于黏膜下肿物剥离术，要求手术过程中能直接进行注射，减少更换器械的时间，进而减少手术时间，降低手术风险及并发症。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消化科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一次性使用止血夹装置</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适用于内镜下消化道出血创面较大的止血治疗，型号:开口大于16mm。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消化科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一次性使用止血夹装置</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适用于内镜下消化道出血创面大的止血治疗，型号:开口大于13mm。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内镜室</w:t>
            </w:r>
            <w:r>
              <w:rPr>
                <w:rFonts w:hint="eastAsia" w:ascii="宋体" w:hAnsi="宋体" w:cs="宋体"/>
                <w:i w:val="0"/>
                <w:iCs w:val="0"/>
                <w:color w:val="000000"/>
                <w:sz w:val="24"/>
                <w:szCs w:val="24"/>
                <w:u w:val="none"/>
                <w:lang w:eastAsia="zh-CN"/>
              </w:rPr>
              <w:t>（</w:t>
            </w:r>
            <w:r>
              <w:rPr>
                <w:rFonts w:hint="eastAsia" w:ascii="宋体" w:hAnsi="宋体" w:cs="宋体"/>
                <w:i w:val="0"/>
                <w:iCs w:val="0"/>
                <w:color w:val="000000"/>
                <w:sz w:val="24"/>
                <w:szCs w:val="24"/>
                <w:u w:val="none"/>
                <w:lang w:val="en-US" w:eastAsia="zh-CN"/>
              </w:rPr>
              <w:t>南院）</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过氧乙酸消毒液</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适用于软式内镜的快速灭菌消毒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甲乳科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9BBB59" w:themeColor="accent3"/>
                <w:sz w:val="24"/>
                <w:szCs w:val="24"/>
                <w:u w:val="none"/>
                <w14:textFill>
                  <w14:solidFill>
                    <w14:schemeClr w14:val="accent3"/>
                  </w14:solidFill>
                </w14:textFill>
              </w:rPr>
            </w:pPr>
            <w:r>
              <w:rPr>
                <w:rFonts w:hint="eastAsia" w:ascii="宋体" w:hAnsi="宋体" w:eastAsia="宋体" w:cs="宋体"/>
                <w:i w:val="0"/>
                <w:iCs w:val="0"/>
                <w:color w:val="auto"/>
                <w:sz w:val="24"/>
                <w:szCs w:val="24"/>
                <w:u w:val="none"/>
              </w:rPr>
              <w:t>人工乳房植入体</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人工乳房植入体由多层硅橡胶制成，壳内充有硅凝胶，产品为毛面自然(圆)型，用于乳房缺失组织的填充，一次性使用，适用于隆胸和乳房再造。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甲乳科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乳房软组织加强补片</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该产品为通过经编工艺制程的网状物，由聚丙烯单纤维丝和钛化物涂层构成，用于一期乳房重建手术中的乳房软组织加强作用。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甲乳科</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一次性使用乳腺扩张器</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该产品一次性使用，圆形，内外置导管，长度可调节，适用于乳房重建手术前或乳房整形手术后使用。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小儿外科（南院区）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一次性使用肠套叠复位扩张球囊</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1，B超引导下使用;</w:t>
            </w:r>
          </w:p>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2，水压的灌注压力可调控;</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3，专用于小儿外科肠套叠复位。</w:t>
            </w:r>
            <w:bookmarkStart w:id="0" w:name="_GoBack"/>
            <w:bookmarkEnd w:id="0"/>
          </w:p>
        </w:tc>
      </w:tr>
    </w:tbl>
    <w:p>
      <w:pPr>
        <w:widowControl/>
        <w:numPr>
          <w:ilvl w:val="0"/>
          <w:numId w:val="0"/>
        </w:numPr>
        <w:adjustRightInd w:val="0"/>
        <w:rPr>
          <w:rFonts w:hint="default" w:ascii="宋体" w:hAnsi="宋体" w:cs="宋体"/>
          <w:b/>
          <w:kern w:val="0"/>
          <w:sz w:val="24"/>
          <w:szCs w:val="24"/>
          <w:lang w:val="en-US" w:eastAsia="zh-CN"/>
        </w:rPr>
      </w:pP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报名要求：</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(1)严格按照要求填写附表一、附表二，不符合要求视为无效。</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(2)所投产品须持有医疗器械注册证（注册证号在附表一中必须填写），特殊产品除外。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（3）所投产品必须在最新的医保报销范围之内（同类产品都不能报销的除外）。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（4）所投产品一年内在</w:t>
      </w:r>
      <w:r>
        <w:rPr>
          <w:rFonts w:hint="eastAsia" w:ascii="宋体" w:hAnsi="宋体" w:cs="宋体"/>
          <w:kern w:val="0"/>
          <w:sz w:val="24"/>
          <w:szCs w:val="24"/>
          <w:lang w:val="en-US" w:eastAsia="zh-CN"/>
        </w:rPr>
        <w:t>省卫健委直属三甲医院</w:t>
      </w:r>
      <w:r>
        <w:rPr>
          <w:rFonts w:hint="eastAsia" w:ascii="宋体" w:hAnsi="宋体" w:cs="宋体"/>
          <w:kern w:val="0"/>
          <w:sz w:val="24"/>
          <w:szCs w:val="24"/>
        </w:rPr>
        <w:t>使用过（专机耗材除外），并且保证所投产品价格为同时期内全省最低价。</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（5）所投产品必须在江西省医保公共服务平台下的药品和医用耗材招采管理系统中的挂网范围内（同类产品未招标的除外）。</w:t>
      </w: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报名时需提供的相关材料：</w:t>
      </w:r>
    </w:p>
    <w:p>
      <w:pPr>
        <w:widowControl/>
        <w:tabs>
          <w:tab w:val="left" w:pos="426"/>
        </w:tabs>
        <w:adjustRightInd w:val="0"/>
        <w:rPr>
          <w:rFonts w:asciiTheme="minorEastAsia" w:hAnsiTheme="minorEastAsia" w:eastAsiaTheme="minorEastAsia" w:cstheme="minorEastAsia"/>
          <w:sz w:val="24"/>
          <w:szCs w:val="24"/>
        </w:rPr>
      </w:pPr>
      <w:r>
        <w:rPr>
          <w:rFonts w:hint="eastAsia" w:ascii="宋体" w:hAnsi="宋体" w:cs="宋体"/>
          <w:b/>
          <w:kern w:val="0"/>
          <w:sz w:val="24"/>
          <w:szCs w:val="24"/>
        </w:rPr>
        <w:t xml:space="preserve">   </w:t>
      </w:r>
      <w:r>
        <w:rPr>
          <w:rFonts w:hint="eastAsia" w:asciiTheme="minorEastAsia" w:hAnsiTheme="minorEastAsia" w:eastAsiaTheme="minorEastAsia" w:cstheme="minorEastAsia"/>
          <w:sz w:val="24"/>
          <w:szCs w:val="24"/>
        </w:rPr>
        <w:t>1、公司及产品的资质证明材料（公司三证等）。</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2、议价</w:t>
      </w:r>
      <w:r>
        <w:rPr>
          <w:rFonts w:hint="eastAsia" w:asciiTheme="minorEastAsia" w:hAnsiTheme="minorEastAsia" w:eastAsiaTheme="minorEastAsia" w:cstheme="minorEastAsia"/>
          <w:sz w:val="24"/>
          <w:szCs w:val="24"/>
        </w:rPr>
        <w:t>产品的制造商或者区域总代理商出具的授权函。</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3、法定代表人证书或委托代理人授权书。</w:t>
      </w:r>
    </w:p>
    <w:p>
      <w:pPr>
        <w:adjustRightInd w:val="0"/>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4、附件表一（另增加电子版发到下方的邮箱），附表二</w:t>
      </w:r>
    </w:p>
    <w:p>
      <w:pPr>
        <w:adjustRightInd w:val="0"/>
        <w:ind w:left="420" w:leftChars="200"/>
        <w:rPr>
          <w:rFonts w:ascii="宋体" w:hAnsi="宋体" w:cs="宋体"/>
          <w:kern w:val="0"/>
          <w:sz w:val="24"/>
          <w:szCs w:val="24"/>
        </w:rPr>
      </w:pPr>
      <w:r>
        <w:rPr>
          <w:rFonts w:hint="eastAsia" w:asciiTheme="minorEastAsia" w:hAnsiTheme="minorEastAsia" w:cstheme="minorEastAsia"/>
          <w:sz w:val="24"/>
          <w:szCs w:val="24"/>
        </w:rPr>
        <w:t>5、</w:t>
      </w:r>
      <w:r>
        <w:rPr>
          <w:rFonts w:hint="eastAsia" w:ascii="宋体" w:hAnsi="宋体" w:cs="宋体"/>
          <w:kern w:val="0"/>
          <w:sz w:val="24"/>
          <w:szCs w:val="24"/>
        </w:rPr>
        <w:t>所投产品一年内的江西省三甲医院的使用依据。</w:t>
      </w:r>
    </w:p>
    <w:p>
      <w:pPr>
        <w:adjustRightInd w:val="0"/>
        <w:ind w:left="420" w:leftChars="200"/>
        <w:rPr>
          <w:rFonts w:ascii="宋体" w:hAnsi="宋体" w:cs="宋体"/>
          <w:b/>
          <w:kern w:val="0"/>
          <w:sz w:val="24"/>
          <w:szCs w:val="24"/>
        </w:rPr>
      </w:pPr>
      <w:r>
        <w:rPr>
          <w:rFonts w:hint="eastAsia" w:asciiTheme="minorEastAsia" w:hAnsiTheme="minorEastAsia" w:cstheme="minorEastAsia"/>
          <w:sz w:val="24"/>
          <w:szCs w:val="24"/>
        </w:rPr>
        <w:t>6、</w:t>
      </w:r>
      <w:r>
        <w:rPr>
          <w:rFonts w:hint="eastAsia"/>
          <w:sz w:val="24"/>
          <w:szCs w:val="24"/>
        </w:rPr>
        <w:t>国家医用耗材27位编码，江西省医保报销类别。</w:t>
      </w:r>
    </w:p>
    <w:p>
      <w:pPr>
        <w:adjustRightInd w:val="0"/>
        <w:ind w:firstLine="480" w:firstLineChars="200"/>
        <w:rPr>
          <w:rFonts w:hint="eastAsia" w:ascii="宋体" w:hAnsi="宋体" w:eastAsia="宋体" w:cs="宋体"/>
          <w:kern w:val="0"/>
          <w:sz w:val="24"/>
          <w:szCs w:val="24"/>
          <w:lang w:eastAsia="zh-CN"/>
        </w:rPr>
      </w:pPr>
      <w:r>
        <w:rPr>
          <w:rFonts w:hint="eastAsia" w:asciiTheme="minorEastAsia" w:hAnsiTheme="minorEastAsia" w:cstheme="minorEastAsia"/>
          <w:sz w:val="24"/>
          <w:szCs w:val="24"/>
        </w:rPr>
        <w:t>7、价格承诺函、</w:t>
      </w:r>
      <w:r>
        <w:rPr>
          <w:rFonts w:hint="eastAsia" w:ascii="宋体" w:hAnsi="宋体" w:cs="宋体"/>
          <w:kern w:val="0"/>
          <w:sz w:val="24"/>
          <w:szCs w:val="24"/>
        </w:rPr>
        <w:t>价格佐证</w:t>
      </w:r>
      <w:r>
        <w:rPr>
          <w:rFonts w:hint="eastAsia" w:ascii="宋体" w:hAnsi="宋体" w:cs="宋体"/>
          <w:kern w:val="0"/>
          <w:sz w:val="24"/>
          <w:szCs w:val="24"/>
          <w:lang w:eastAsia="zh-CN"/>
        </w:rPr>
        <w:t>。</w:t>
      </w:r>
    </w:p>
    <w:p>
      <w:pPr>
        <w:adjustRightInd w:val="0"/>
        <w:ind w:firstLine="480" w:firstLineChars="200"/>
        <w:rPr>
          <w:rFonts w:ascii="宋体" w:hAnsi="宋体" w:cs="宋体"/>
          <w:b/>
          <w:kern w:val="0"/>
          <w:sz w:val="24"/>
          <w:szCs w:val="24"/>
        </w:rPr>
      </w:pPr>
      <w:r>
        <w:rPr>
          <w:rFonts w:hint="eastAsia" w:ascii="宋体" w:hAnsi="宋体" w:cs="宋体"/>
          <w:kern w:val="0"/>
          <w:sz w:val="24"/>
          <w:szCs w:val="24"/>
        </w:rPr>
        <w:t>8、所投产品需带</w:t>
      </w:r>
      <w:r>
        <w:rPr>
          <w:rFonts w:hint="eastAsia" w:ascii="宋体" w:hAnsi="宋体" w:cs="宋体"/>
          <w:b/>
          <w:bCs/>
          <w:color w:val="FF0000"/>
          <w:kern w:val="0"/>
          <w:sz w:val="24"/>
          <w:szCs w:val="24"/>
        </w:rPr>
        <w:t>样品</w:t>
      </w:r>
      <w:r>
        <w:rPr>
          <w:rFonts w:hint="eastAsia" w:ascii="宋体" w:hAnsi="宋体" w:cs="宋体"/>
          <w:kern w:val="0"/>
          <w:sz w:val="24"/>
          <w:szCs w:val="24"/>
          <w:lang w:val="en-US" w:eastAsia="zh-CN"/>
        </w:rPr>
        <w:t>现场展示说明</w:t>
      </w:r>
      <w:r>
        <w:rPr>
          <w:rFonts w:hint="eastAsia" w:ascii="宋体" w:hAnsi="宋体" w:cs="宋体"/>
          <w:kern w:val="0"/>
          <w:sz w:val="24"/>
          <w:szCs w:val="24"/>
        </w:rPr>
        <w:t>。</w:t>
      </w:r>
    </w:p>
    <w:p>
      <w:pPr>
        <w:adjustRightInd w:val="0"/>
        <w:ind w:left="240" w:hanging="240" w:hangingChars="100"/>
        <w:rPr>
          <w:rFonts w:ascii="宋体" w:hAnsi="宋体" w:cs="宋体"/>
          <w:sz w:val="24"/>
          <w:szCs w:val="24"/>
        </w:rPr>
      </w:pPr>
      <w:r>
        <w:rPr>
          <w:rFonts w:hint="eastAsia" w:asciiTheme="minorEastAsia" w:hAnsiTheme="minorEastAsia" w:cstheme="minorEastAsia"/>
          <w:sz w:val="24"/>
          <w:szCs w:val="24"/>
        </w:rPr>
        <w:t>注：以上材料一式</w:t>
      </w:r>
      <w:r>
        <w:rPr>
          <w:rFonts w:hint="eastAsia" w:asciiTheme="minorEastAsia" w:hAnsiTheme="minorEastAsia" w:cstheme="minorEastAsia"/>
          <w:sz w:val="24"/>
          <w:szCs w:val="24"/>
          <w:lang w:val="en-US" w:eastAsia="zh-CN"/>
        </w:rPr>
        <w:t>四</w:t>
      </w:r>
      <w:r>
        <w:rPr>
          <w:rFonts w:hint="eastAsia" w:asciiTheme="minorEastAsia" w:hAnsiTheme="minorEastAsia" w:cstheme="minorEastAsia"/>
          <w:sz w:val="24"/>
          <w:szCs w:val="24"/>
        </w:rPr>
        <w:t>份并加盖公章，</w:t>
      </w:r>
      <w:r>
        <w:rPr>
          <w:rFonts w:hint="eastAsia" w:ascii="宋体" w:hAnsi="宋体" w:cs="宋体"/>
          <w:sz w:val="24"/>
          <w:szCs w:val="24"/>
        </w:rPr>
        <w:t>对提供材料不真实者予以取消中标资格。</w:t>
      </w:r>
    </w:p>
    <w:p>
      <w:pPr>
        <w:tabs>
          <w:tab w:val="left" w:pos="229"/>
        </w:tabs>
        <w:adjustRightInd w:val="0"/>
        <w:ind w:firstLine="241" w:firstLineChars="100"/>
        <w:rPr>
          <w:rFonts w:ascii="宋体" w:hAnsi="宋体" w:cs="宋体"/>
          <w:b/>
          <w:color w:val="FF0000"/>
          <w:kern w:val="0"/>
          <w:sz w:val="24"/>
          <w:szCs w:val="24"/>
        </w:rPr>
      </w:pPr>
      <w:r>
        <w:rPr>
          <w:rFonts w:hint="eastAsia" w:ascii="宋体" w:hAnsi="宋体" w:cs="宋体"/>
          <w:b/>
          <w:color w:val="FF0000"/>
          <w:kern w:val="0"/>
          <w:sz w:val="24"/>
          <w:szCs w:val="24"/>
        </w:rPr>
        <w:t>投标文件必须密封，否则作无效响应处理。</w:t>
      </w:r>
    </w:p>
    <w:p>
      <w:pPr>
        <w:tabs>
          <w:tab w:val="left" w:pos="229"/>
        </w:tabs>
        <w:adjustRightInd w:val="0"/>
        <w:jc w:val="left"/>
        <w:rPr>
          <w:rFonts w:ascii="宋体" w:hAnsi="宋体" w:cs="宋体"/>
          <w:b/>
          <w:kern w:val="0"/>
          <w:sz w:val="24"/>
          <w:szCs w:val="24"/>
        </w:rPr>
      </w:pPr>
      <w:r>
        <w:rPr>
          <w:rFonts w:hint="eastAsia" w:ascii="宋体" w:hAnsi="宋体" w:cs="宋体"/>
          <w:b/>
          <w:kern w:val="0"/>
          <w:sz w:val="24"/>
          <w:szCs w:val="24"/>
        </w:rPr>
        <w:t>4.评标方法</w:t>
      </w:r>
    </w:p>
    <w:p>
      <w:pPr>
        <w:tabs>
          <w:tab w:val="left" w:pos="229"/>
        </w:tabs>
        <w:adjustRightInd w:val="0"/>
        <w:rPr>
          <w:b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1、</w:t>
      </w:r>
      <w:r>
        <w:rPr>
          <w:rFonts w:hint="eastAsia"/>
          <w:bCs/>
          <w:color w:val="000000" w:themeColor="text1"/>
          <w:sz w:val="24"/>
          <w:szCs w:val="24"/>
          <w:lang w:val="en-US" w:eastAsia="zh-CN"/>
          <w14:textFill>
            <w14:solidFill>
              <w14:schemeClr w14:val="tx1"/>
            </w14:solidFill>
          </w14:textFill>
        </w:rPr>
        <w:t>现场报价。</w:t>
      </w:r>
      <w:r>
        <w:rPr>
          <w:rFonts w:hint="eastAsia"/>
          <w:bCs/>
          <w:color w:val="000000" w:themeColor="text1"/>
          <w:sz w:val="24"/>
          <w:szCs w:val="24"/>
          <w14:textFill>
            <w14:solidFill>
              <w14:schemeClr w14:val="tx1"/>
            </w14:solidFill>
          </w14:textFill>
        </w:rPr>
        <w:t>原则上低价中标，但需经临床试用和相关专家认可确认。</w:t>
      </w:r>
      <w:r>
        <w:rPr>
          <w:bCs/>
          <w:color w:val="000000" w:themeColor="text1"/>
          <w:sz w:val="24"/>
          <w:szCs w:val="24"/>
          <w14:textFill>
            <w14:solidFill>
              <w14:schemeClr w14:val="tx1"/>
            </w14:solidFill>
          </w14:textFill>
        </w:rPr>
        <w:t xml:space="preserve"> </w:t>
      </w:r>
    </w:p>
    <w:p>
      <w:pPr>
        <w:tabs>
          <w:tab w:val="left" w:pos="229"/>
        </w:tabs>
        <w:adjustRightInd w:val="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2、意向中标产品需经医院办公会讨论通过后方可签合同。</w:t>
      </w:r>
    </w:p>
    <w:p>
      <w:pPr>
        <w:widowControl/>
        <w:adjustRightInd w:val="0"/>
        <w:jc w:val="left"/>
        <w:rPr>
          <w:b/>
          <w:kern w:val="0"/>
          <w:sz w:val="24"/>
          <w:szCs w:val="24"/>
        </w:rPr>
      </w:pPr>
      <w:r>
        <w:rPr>
          <w:b/>
          <w:kern w:val="0"/>
          <w:sz w:val="24"/>
          <w:szCs w:val="24"/>
        </w:rPr>
        <w:t>注意事项</w:t>
      </w:r>
      <w:r>
        <w:rPr>
          <w:rFonts w:hint="eastAsia"/>
          <w:b/>
          <w:kern w:val="0"/>
          <w:sz w:val="24"/>
          <w:szCs w:val="24"/>
        </w:rPr>
        <w:t>：</w:t>
      </w:r>
    </w:p>
    <w:p>
      <w:pPr>
        <w:widowControl/>
        <w:adjustRightInd w:val="0"/>
        <w:jc w:val="left"/>
        <w:rPr>
          <w:kern w:val="0"/>
          <w:sz w:val="24"/>
          <w:szCs w:val="24"/>
        </w:rPr>
      </w:pPr>
      <w:r>
        <w:rPr>
          <w:rFonts w:hint="eastAsia"/>
          <w:kern w:val="0"/>
          <w:sz w:val="24"/>
          <w:szCs w:val="24"/>
        </w:rPr>
        <w:t>1、</w:t>
      </w:r>
      <w:r>
        <w:rPr>
          <w:rFonts w:ascii="宋体" w:hAnsi="宋体" w:cs="宋体"/>
          <w:kern w:val="0"/>
          <w:sz w:val="24"/>
          <w:szCs w:val="24"/>
        </w:rPr>
        <w:t>报价均</w:t>
      </w:r>
      <w:r>
        <w:rPr>
          <w:rFonts w:hint="eastAsia" w:ascii="宋体" w:hAnsi="宋体" w:cs="宋体"/>
          <w:kern w:val="0"/>
          <w:sz w:val="24"/>
          <w:szCs w:val="24"/>
        </w:rPr>
        <w:t>以</w:t>
      </w:r>
      <w:r>
        <w:rPr>
          <w:rFonts w:ascii="宋体" w:hAnsi="宋体" w:cs="宋体"/>
          <w:kern w:val="0"/>
          <w:sz w:val="24"/>
          <w:szCs w:val="24"/>
        </w:rPr>
        <w:t>产品单价为报价标准</w:t>
      </w:r>
      <w:r>
        <w:rPr>
          <w:rFonts w:hint="eastAsia" w:ascii="宋体" w:hAnsi="宋体" w:cs="宋体"/>
          <w:kern w:val="0"/>
          <w:sz w:val="24"/>
          <w:szCs w:val="24"/>
        </w:rPr>
        <w:t>。</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2、若本次招标产品我院正在使用，则此产品供应商必须报名参加本次招标，否则我院有权停止其供应资格，并由参加本次招标的中标供应商进行供货。</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3、经医院专家认定不能满足招标要求的项目，投标无效。</w:t>
      </w:r>
    </w:p>
    <w:p>
      <w:pPr>
        <w:widowControl/>
        <w:adjustRightInd w:val="0"/>
        <w:jc w:val="left"/>
        <w:rPr>
          <w:color w:val="FF0000"/>
          <w:kern w:val="0"/>
          <w:sz w:val="24"/>
          <w:szCs w:val="24"/>
        </w:rPr>
      </w:pPr>
    </w:p>
    <w:p>
      <w:pPr>
        <w:widowControl/>
        <w:adjustRightInd w:val="0"/>
        <w:jc w:val="left"/>
        <w:rPr>
          <w:rFonts w:ascii="宋体" w:hAnsi="宋体" w:cs="宋体"/>
          <w:kern w:val="0"/>
          <w:sz w:val="24"/>
          <w:szCs w:val="24"/>
        </w:rPr>
      </w:pPr>
      <w:r>
        <w:rPr>
          <w:rFonts w:hint="eastAsia" w:ascii="宋体" w:hAnsi="宋体" w:cs="宋体"/>
          <w:kern w:val="0"/>
          <w:sz w:val="24"/>
          <w:szCs w:val="24"/>
        </w:rPr>
        <w:t>4.交材料时间：202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w:t>
      </w:r>
      <w:r>
        <w:rPr>
          <w:rFonts w:hint="eastAsia" w:ascii="宋体" w:hAnsi="宋体" w:cs="宋体"/>
          <w:kern w:val="0"/>
          <w:sz w:val="24"/>
          <w:szCs w:val="24"/>
          <w:lang w:val="en-US" w:eastAsia="zh-CN"/>
        </w:rPr>
        <w:t>6</w:t>
      </w:r>
      <w:r>
        <w:rPr>
          <w:rFonts w:hint="eastAsia" w:ascii="宋体" w:hAnsi="宋体" w:cs="宋体"/>
          <w:kern w:val="0"/>
          <w:sz w:val="24"/>
          <w:szCs w:val="24"/>
        </w:rPr>
        <w:t>月</w:t>
      </w:r>
      <w:r>
        <w:rPr>
          <w:rFonts w:hint="eastAsia" w:ascii="宋体" w:hAnsi="宋体" w:cs="宋体"/>
          <w:kern w:val="0"/>
          <w:sz w:val="24"/>
          <w:szCs w:val="24"/>
          <w:lang w:val="en-US" w:eastAsia="zh-CN"/>
        </w:rPr>
        <w:t>11</w:t>
      </w:r>
      <w:r>
        <w:rPr>
          <w:rFonts w:hint="eastAsia" w:ascii="宋体" w:hAnsi="宋体" w:cs="宋体"/>
          <w:kern w:val="0"/>
          <w:sz w:val="24"/>
          <w:szCs w:val="24"/>
        </w:rPr>
        <w:t>日</w:t>
      </w:r>
      <w:r>
        <w:rPr>
          <w:rFonts w:hint="eastAsia" w:ascii="宋体" w:hAnsi="宋体" w:cs="宋体"/>
          <w:kern w:val="0"/>
          <w:sz w:val="24"/>
          <w:szCs w:val="24"/>
          <w:lang w:val="en-US" w:eastAsia="zh-CN"/>
        </w:rPr>
        <w:t>下午2点30前</w:t>
      </w:r>
      <w:r>
        <w:rPr>
          <w:rFonts w:hint="eastAsia" w:ascii="宋体" w:hAnsi="宋体" w:cs="宋体"/>
          <w:kern w:val="0"/>
          <w:sz w:val="24"/>
          <w:szCs w:val="24"/>
        </w:rPr>
        <w:t>，逾期不受理，地点在吉安市中心人民医院</w:t>
      </w:r>
      <w:r>
        <w:rPr>
          <w:rFonts w:hint="eastAsia" w:ascii="宋体" w:hAnsi="宋体" w:cs="宋体"/>
          <w:kern w:val="0"/>
          <w:sz w:val="24"/>
          <w:szCs w:val="24"/>
          <w:lang w:val="en-US" w:eastAsia="zh-CN"/>
        </w:rPr>
        <w:t>南院区--吉安南大道80号行政楼107号医学装备科。</w:t>
      </w:r>
    </w:p>
    <w:p>
      <w:pPr>
        <w:widowControl/>
        <w:adjustRightInd w:val="0"/>
        <w:ind w:firstLine="240" w:firstLineChars="100"/>
        <w:jc w:val="left"/>
        <w:rPr>
          <w:rFonts w:hint="eastAsia" w:ascii="宋体" w:hAnsi="宋体" w:eastAsia="宋体" w:cs="宋体"/>
          <w:kern w:val="0"/>
          <w:sz w:val="24"/>
          <w:szCs w:val="24"/>
          <w:lang w:eastAsia="zh-CN"/>
        </w:rPr>
      </w:pPr>
      <w:r>
        <w:rPr>
          <w:rFonts w:hint="eastAsia" w:ascii="宋体" w:hAnsi="宋体" w:cs="宋体"/>
          <w:kern w:val="0"/>
          <w:sz w:val="24"/>
          <w:szCs w:val="24"/>
        </w:rPr>
        <w:t>咨询地点：吉安市中心人民医院</w:t>
      </w:r>
      <w:r>
        <w:rPr>
          <w:rFonts w:hint="eastAsia" w:ascii="宋体" w:hAnsi="宋体" w:cs="宋体"/>
          <w:kern w:val="0"/>
          <w:sz w:val="24"/>
          <w:szCs w:val="24"/>
          <w:lang w:val="en-US" w:eastAsia="zh-CN"/>
        </w:rPr>
        <w:t>南院区吉安南大道80号行政楼107号医学装备科，</w:t>
      </w:r>
      <w:r>
        <w:rPr>
          <w:rFonts w:hint="eastAsia" w:ascii="宋体" w:hAnsi="宋体" w:cs="宋体"/>
          <w:kern w:val="0"/>
          <w:sz w:val="24"/>
          <w:szCs w:val="24"/>
        </w:rPr>
        <w:t>现场开标时间：202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w:t>
      </w:r>
      <w:r>
        <w:rPr>
          <w:rFonts w:hint="eastAsia" w:ascii="宋体" w:hAnsi="宋体" w:cs="宋体"/>
          <w:kern w:val="0"/>
          <w:sz w:val="24"/>
          <w:szCs w:val="24"/>
          <w:lang w:val="en-US" w:eastAsia="zh-CN"/>
        </w:rPr>
        <w:t>6</w:t>
      </w:r>
      <w:r>
        <w:rPr>
          <w:rFonts w:hint="eastAsia" w:ascii="宋体" w:hAnsi="宋体" w:cs="宋体"/>
          <w:kern w:val="0"/>
          <w:sz w:val="24"/>
          <w:szCs w:val="24"/>
        </w:rPr>
        <w:t xml:space="preserve">月 </w:t>
      </w:r>
      <w:r>
        <w:rPr>
          <w:rFonts w:hint="eastAsia" w:ascii="宋体" w:hAnsi="宋体" w:cs="宋体"/>
          <w:kern w:val="0"/>
          <w:sz w:val="24"/>
          <w:szCs w:val="24"/>
          <w:lang w:val="en-US" w:eastAsia="zh-CN"/>
        </w:rPr>
        <w:t>11</w:t>
      </w:r>
      <w:r>
        <w:rPr>
          <w:rFonts w:hint="eastAsia" w:ascii="宋体" w:hAnsi="宋体" w:cs="宋体"/>
          <w:kern w:val="0"/>
          <w:sz w:val="24"/>
          <w:szCs w:val="24"/>
        </w:rPr>
        <w:t xml:space="preserve"> 日</w:t>
      </w:r>
      <w:r>
        <w:rPr>
          <w:rFonts w:hint="eastAsia" w:ascii="宋体" w:hAnsi="宋体" w:cs="宋体"/>
          <w:kern w:val="0"/>
          <w:sz w:val="24"/>
          <w:szCs w:val="24"/>
          <w:lang w:val="en-US" w:eastAsia="zh-CN"/>
        </w:rPr>
        <w:t>下午2</w:t>
      </w:r>
      <w:r>
        <w:rPr>
          <w:rFonts w:hint="eastAsia" w:ascii="宋体" w:hAnsi="宋体" w:cs="宋体"/>
          <w:kern w:val="0"/>
          <w:sz w:val="24"/>
          <w:szCs w:val="24"/>
        </w:rPr>
        <w:t>点</w:t>
      </w:r>
      <w:r>
        <w:rPr>
          <w:rFonts w:hint="eastAsia" w:ascii="宋体" w:hAnsi="宋体" w:cs="宋体"/>
          <w:kern w:val="0"/>
          <w:sz w:val="24"/>
          <w:szCs w:val="24"/>
          <w:lang w:val="en-US" w:eastAsia="zh-CN"/>
        </w:rPr>
        <w:t>30</w:t>
      </w:r>
      <w:r>
        <w:rPr>
          <w:rFonts w:hint="eastAsia" w:ascii="宋体" w:hAnsi="宋体" w:cs="宋体"/>
          <w:kern w:val="0"/>
          <w:sz w:val="24"/>
          <w:szCs w:val="24"/>
          <w:lang w:eastAsia="zh-CN"/>
        </w:rPr>
        <w:t>。</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联系电话：15879610020</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邮箱：</w:t>
      </w:r>
      <w:r>
        <w:fldChar w:fldCharType="begin"/>
      </w:r>
      <w:r>
        <w:instrText xml:space="preserve"> HYPERLINK "mailto:229636767@qq.com" </w:instrText>
      </w:r>
      <w:r>
        <w:fldChar w:fldCharType="separate"/>
      </w:r>
      <w:r>
        <w:rPr>
          <w:rStyle w:val="10"/>
          <w:rFonts w:hint="eastAsia" w:ascii="宋体" w:hAnsi="宋体" w:cs="宋体"/>
          <w:kern w:val="0"/>
          <w:sz w:val="24"/>
          <w:szCs w:val="24"/>
        </w:rPr>
        <w:t>229636767@qq.com</w:t>
      </w:r>
      <w:r>
        <w:rPr>
          <w:rStyle w:val="10"/>
          <w:rFonts w:hint="eastAsia" w:ascii="宋体" w:hAnsi="宋体" w:cs="宋体"/>
          <w:kern w:val="0"/>
          <w:sz w:val="24"/>
          <w:szCs w:val="24"/>
        </w:rPr>
        <w:fldChar w:fldCharType="end"/>
      </w:r>
    </w:p>
    <w:p>
      <w:pPr>
        <w:widowControl/>
        <w:adjustRightInd w:val="0"/>
        <w:ind w:firstLine="240" w:firstLineChars="100"/>
        <w:jc w:val="left"/>
        <w:rPr>
          <w:rFonts w:ascii="宋体" w:hAnsi="宋体" w:cs="宋体"/>
          <w:kern w:val="0"/>
          <w:sz w:val="24"/>
          <w:szCs w:val="24"/>
        </w:rPr>
      </w:pPr>
    </w:p>
    <w:p>
      <w:pPr>
        <w:widowControl/>
        <w:adjustRightInd w:val="0"/>
        <w:ind w:firstLine="240" w:firstLineChars="100"/>
        <w:jc w:val="left"/>
        <w:rPr>
          <w:rFonts w:ascii="宋体" w:hAnsi="宋体" w:cs="宋体"/>
          <w:kern w:val="0"/>
          <w:sz w:val="24"/>
          <w:szCs w:val="24"/>
        </w:rPr>
      </w:pPr>
    </w:p>
    <w:p>
      <w:pPr>
        <w:widowControl/>
        <w:adjustRightInd w:val="0"/>
        <w:jc w:val="right"/>
        <w:rPr>
          <w:rFonts w:ascii="宋体" w:hAnsi="宋体" w:cs="宋体"/>
          <w:b/>
          <w:bCs/>
          <w:sz w:val="24"/>
          <w:szCs w:val="24"/>
        </w:rPr>
      </w:pPr>
      <w:r>
        <w:rPr>
          <w:rFonts w:hint="eastAsia" w:ascii="宋体" w:hAnsi="宋体" w:cs="宋体"/>
          <w:kern w:val="0"/>
          <w:sz w:val="24"/>
          <w:szCs w:val="24"/>
        </w:rPr>
        <w:t>                               吉安市中心人民医院</w:t>
      </w:r>
      <w:r>
        <w:rPr>
          <w:rFonts w:hint="eastAsia" w:ascii="宋体" w:hAnsi="宋体" w:cs="宋体"/>
          <w:b/>
          <w:bCs/>
          <w:sz w:val="24"/>
          <w:szCs w:val="24"/>
        </w:rPr>
        <w:t xml:space="preserve"> </w:t>
      </w:r>
    </w:p>
    <w:p>
      <w:pPr>
        <w:widowControl/>
        <w:adjustRightInd w:val="0"/>
        <w:jc w:val="right"/>
        <w:rPr>
          <w:rFonts w:ascii="宋体" w:hAnsi="宋体" w:cs="宋体"/>
          <w:b/>
          <w:bCs/>
          <w:sz w:val="24"/>
          <w:szCs w:val="24"/>
        </w:rPr>
      </w:pPr>
      <w:r>
        <w:rPr>
          <w:rFonts w:hint="eastAsia" w:ascii="宋体" w:hAnsi="宋体" w:cs="宋体"/>
          <w:b/>
          <w:bCs/>
          <w:sz w:val="24"/>
          <w:szCs w:val="24"/>
        </w:rPr>
        <w:t>202</w:t>
      </w:r>
      <w:r>
        <w:rPr>
          <w:rFonts w:hint="eastAsia" w:ascii="宋体" w:hAnsi="宋体" w:cs="宋体"/>
          <w:b/>
          <w:bCs/>
          <w:sz w:val="24"/>
          <w:szCs w:val="24"/>
          <w:lang w:val="en-US" w:eastAsia="zh-CN"/>
        </w:rPr>
        <w:t>4</w:t>
      </w:r>
      <w:r>
        <w:rPr>
          <w:rFonts w:hint="eastAsia" w:ascii="宋体" w:hAnsi="宋体" w:cs="宋体"/>
          <w:b/>
          <w:bCs/>
          <w:sz w:val="24"/>
          <w:szCs w:val="24"/>
        </w:rPr>
        <w:t>年</w:t>
      </w:r>
      <w:r>
        <w:rPr>
          <w:rFonts w:hint="eastAsia" w:ascii="宋体" w:hAnsi="宋体" w:cs="宋体"/>
          <w:b/>
          <w:bCs/>
          <w:sz w:val="24"/>
          <w:szCs w:val="24"/>
          <w:lang w:val="en-US" w:eastAsia="zh-CN"/>
        </w:rPr>
        <w:t>6</w:t>
      </w:r>
      <w:r>
        <w:rPr>
          <w:rFonts w:hint="eastAsia" w:ascii="宋体" w:hAnsi="宋体" w:cs="宋体"/>
          <w:b/>
          <w:bCs/>
          <w:sz w:val="24"/>
          <w:szCs w:val="24"/>
        </w:rPr>
        <w:t>月</w:t>
      </w:r>
      <w:r>
        <w:rPr>
          <w:rFonts w:hint="eastAsia" w:ascii="宋体" w:hAnsi="宋体" w:cs="宋体"/>
          <w:b/>
          <w:bCs/>
          <w:sz w:val="24"/>
          <w:szCs w:val="24"/>
          <w:lang w:val="en-US" w:eastAsia="zh-CN"/>
        </w:rPr>
        <w:t>5</w:t>
      </w:r>
      <w:r>
        <w:rPr>
          <w:rFonts w:hint="eastAsia" w:ascii="宋体" w:hAnsi="宋体" w:cs="宋体"/>
          <w:b/>
          <w:bCs/>
          <w:sz w:val="24"/>
          <w:szCs w:val="24"/>
        </w:rPr>
        <w:t xml:space="preserve">日     </w:t>
      </w: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sectPr>
          <w:pgSz w:w="11906" w:h="16838"/>
          <w:pgMar w:top="873" w:right="1230" w:bottom="873" w:left="1230" w:header="851" w:footer="992" w:gutter="0"/>
          <w:cols w:space="0" w:num="1"/>
          <w:rtlGutter w:val="0"/>
          <w:docGrid w:type="lines" w:linePitch="312" w:charSpace="0"/>
        </w:sectPr>
      </w:pPr>
      <w:r>
        <w:rPr>
          <w:rFonts w:hint="eastAsia" w:ascii="宋体" w:hAnsi="宋体" w:cs="宋体"/>
          <w:b/>
          <w:bCs/>
          <w:sz w:val="24"/>
          <w:szCs w:val="24"/>
        </w:rPr>
        <w:t xml:space="preserve">                                           </w:t>
      </w:r>
    </w:p>
    <w:p>
      <w:pPr>
        <w:widowControl/>
        <w:spacing w:line="320" w:lineRule="exact"/>
        <w:jc w:val="left"/>
        <w:rPr>
          <w:rFonts w:ascii="宋体" w:hAnsi="宋体" w:cs="宋体"/>
          <w:b/>
          <w:bCs/>
          <w:sz w:val="24"/>
          <w:szCs w:val="24"/>
        </w:rPr>
      </w:pPr>
      <w:r>
        <w:rPr>
          <w:rFonts w:hint="eastAsia" w:ascii="宋体" w:hAnsi="宋体" w:cs="宋体"/>
          <w:b/>
          <w:bCs/>
          <w:sz w:val="24"/>
          <w:szCs w:val="24"/>
        </w:rPr>
        <w:t>附表一（请用EXCEL编辑提交）：</w:t>
      </w:r>
    </w:p>
    <w:p>
      <w:pPr>
        <w:widowControl/>
        <w:spacing w:line="320" w:lineRule="exact"/>
        <w:jc w:val="left"/>
        <w:rPr>
          <w:rFonts w:ascii="宋体" w:hAnsi="宋体" w:cs="宋体"/>
          <w:bCs/>
          <w:sz w:val="24"/>
          <w:szCs w:val="24"/>
        </w:rPr>
      </w:pPr>
    </w:p>
    <w:tbl>
      <w:tblPr>
        <w:tblStyle w:val="6"/>
        <w:tblpPr w:leftFromText="180" w:rightFromText="180" w:vertAnchor="text" w:horzAnchor="page" w:tblpXSpec="center" w:tblpY="65"/>
        <w:tblOverlap w:val="never"/>
        <w:tblW w:w="10660"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招标项目序号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产品注册证名称</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生产厂家</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规格型号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计量单位</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报名公司</w:t>
            </w:r>
          </w:p>
        </w:tc>
        <w:tc>
          <w:tcPr>
            <w:tcW w:w="929"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江西省省标价</w:t>
            </w:r>
          </w:p>
          <w:p>
            <w:pPr>
              <w:widowControl/>
              <w:jc w:val="center"/>
              <w:rPr>
                <w:rFonts w:ascii="宋体" w:hAnsi="宋体" w:cs="宋体"/>
                <w:bCs/>
                <w:kern w:val="0"/>
                <w:sz w:val="24"/>
                <w:szCs w:val="24"/>
              </w:rPr>
            </w:pPr>
            <w:r>
              <w:rPr>
                <w:rFonts w:hint="eastAsia" w:ascii="宋体" w:hAnsi="宋体" w:cs="宋体"/>
                <w:bCs/>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省标价产品</w:t>
            </w:r>
            <w:r>
              <w:rPr>
                <w:rFonts w:hint="eastAsia" w:ascii="宋体" w:hAnsi="宋体" w:cs="宋体"/>
                <w:bCs/>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联系方式</w:t>
            </w: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bl>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spacing w:line="360" w:lineRule="auto"/>
        <w:jc w:val="left"/>
        <w:rPr>
          <w:rFonts w:ascii="宋体" w:hAnsi="宋体" w:cs="宋体"/>
          <w:sz w:val="24"/>
          <w:szCs w:val="24"/>
        </w:rPr>
      </w:pPr>
      <w:r>
        <w:rPr>
          <w:rFonts w:hint="eastAsia" w:ascii="宋体" w:hAnsi="宋体" w:cs="宋体"/>
          <w:sz w:val="24"/>
          <w:szCs w:val="24"/>
        </w:rPr>
        <w:t>要求：</w:t>
      </w:r>
    </w:p>
    <w:p>
      <w:pPr>
        <w:spacing w:line="360" w:lineRule="auto"/>
        <w:ind w:left="360" w:hanging="360" w:hangingChars="150"/>
        <w:rPr>
          <w:rFonts w:ascii="宋体" w:hAnsi="宋体" w:cs="宋体"/>
          <w:kern w:val="0"/>
          <w:sz w:val="24"/>
          <w:szCs w:val="24"/>
        </w:rPr>
      </w:pPr>
      <w:r>
        <w:rPr>
          <w:rFonts w:hint="eastAsia" w:ascii="宋体" w:hAnsi="宋体" w:cs="宋体"/>
          <w:color w:val="000000"/>
          <w:kern w:val="0"/>
          <w:sz w:val="24"/>
          <w:szCs w:val="24"/>
        </w:rPr>
        <w:t xml:space="preserve"> 1.各报名</w:t>
      </w:r>
      <w:r>
        <w:rPr>
          <w:rFonts w:hint="eastAsia" w:ascii="宋体" w:hAnsi="宋体" w:cs="宋体"/>
          <w:sz w:val="24"/>
          <w:szCs w:val="24"/>
        </w:rPr>
        <w:t>企业</w:t>
      </w:r>
      <w:r>
        <w:rPr>
          <w:rFonts w:hint="eastAsia" w:ascii="宋体" w:hAnsi="宋体" w:cs="宋体"/>
          <w:color w:val="000000"/>
          <w:kern w:val="0"/>
          <w:sz w:val="24"/>
          <w:szCs w:val="24"/>
        </w:rPr>
        <w:t>必须按表格要求填写，价格真实，资料可靠，同时须附上相应的价格依据。</w:t>
      </w:r>
    </w:p>
    <w:p>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w:t>
      </w:r>
      <w:r>
        <w:rPr>
          <w:rFonts w:hint="eastAsia" w:ascii="宋体" w:hAnsi="宋体" w:cs="宋体"/>
          <w:sz w:val="24"/>
          <w:szCs w:val="24"/>
        </w:rPr>
        <w:t>请各报名企业按照规定的项目认真填写，不得涂改，每张报价单都需加盖公章。</w:t>
      </w:r>
    </w:p>
    <w:p>
      <w:pPr>
        <w:widowControl/>
        <w:spacing w:line="320" w:lineRule="exact"/>
        <w:jc w:val="left"/>
        <w:rPr>
          <w:rFonts w:ascii="宋体" w:hAnsi="宋体" w:cs="宋体"/>
          <w:kern w:val="0"/>
          <w:sz w:val="24"/>
          <w:szCs w:val="24"/>
        </w:rPr>
      </w:pPr>
      <w:r>
        <w:rPr>
          <w:rFonts w:hint="eastAsia" w:ascii="宋体" w:hAnsi="宋体" w:cs="宋体"/>
          <w:sz w:val="24"/>
          <w:szCs w:val="24"/>
        </w:rPr>
        <w:t xml:space="preserve"> </w:t>
      </w:r>
    </w:p>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r>
        <w:rPr>
          <w:rFonts w:hint="eastAsia" w:ascii="宋体" w:hAnsi="宋体" w:cs="宋体"/>
          <w:b/>
          <w:bCs/>
          <w:sz w:val="24"/>
          <w:szCs w:val="24"/>
        </w:rPr>
        <w:t>附表二：</w:t>
      </w: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5319"/>
        <w:gridCol w:w="1887"/>
        <w:gridCol w:w="2994"/>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876"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center"/>
              <w:rPr>
                <w:rFonts w:ascii="宋体" w:hAnsi="宋体" w:cs="宋体"/>
                <w:bCs/>
                <w:color w:val="000000"/>
                <w:sz w:val="24"/>
                <w:szCs w:val="24"/>
              </w:rPr>
            </w:pPr>
            <w:r>
              <w:rPr>
                <w:rFonts w:hint="eastAsia" w:ascii="宋体" w:hAnsi="宋体" w:cs="宋体"/>
                <w:bCs/>
                <w:color w:val="000000"/>
                <w:sz w:val="24"/>
                <w:szCs w:val="24"/>
              </w:rPr>
              <w:t>报名单位（公司）：</w:t>
            </w:r>
          </w:p>
        </w:tc>
        <w:tc>
          <w:tcPr>
            <w:tcW w:w="68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000000"/>
                <w:sz w:val="24"/>
                <w:szCs w:val="24"/>
              </w:rPr>
            </w:pPr>
            <w:r>
              <w:rPr>
                <w:rFonts w:hint="eastAsia" w:ascii="宋体" w:hAnsi="宋体" w:cs="宋体"/>
                <w:bCs/>
                <w:color w:val="000000"/>
                <w:sz w:val="24"/>
                <w:szCs w:val="24"/>
              </w:rPr>
              <w:t>项目截止日期：   202</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 xml:space="preserve"> 年</w:t>
            </w:r>
            <w:r>
              <w:rPr>
                <w:rFonts w:hint="eastAsia" w:ascii="宋体" w:hAnsi="宋体" w:cs="宋体"/>
                <w:bCs/>
                <w:color w:val="000000"/>
                <w:sz w:val="24"/>
                <w:szCs w:val="24"/>
                <w:lang w:val="en-US" w:eastAsia="zh-CN"/>
              </w:rPr>
              <w:t>6</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11</w:t>
            </w:r>
            <w:r>
              <w:rPr>
                <w:rFonts w:hint="eastAsia" w:ascii="宋体" w:hAnsi="宋体" w:cs="宋体"/>
                <w:bCs/>
                <w:color w:val="00000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 xml:space="preserve">项 目 </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 号</w:t>
            </w: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项 目 名 称</w:t>
            </w: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型号</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报价</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授权代表签名</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w:t>
            </w:r>
            <w:r>
              <w:rPr>
                <w:rFonts w:hint="eastAsia"/>
                <w:b/>
                <w:bCs/>
                <w:sz w:val="24"/>
                <w:szCs w:val="24"/>
              </w:rPr>
              <w:t>需加盖公章</w:t>
            </w:r>
            <w:r>
              <w:rPr>
                <w:rFonts w:hint="eastAsia" w:ascii="宋体" w:hAnsi="宋体" w:cs="宋体"/>
                <w:b/>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r>
    </w:tbl>
    <w:p>
      <w:pPr>
        <w:rPr>
          <w:sz w:val="24"/>
          <w:szCs w:val="24"/>
        </w:rPr>
      </w:pPr>
    </w:p>
    <w:p>
      <w:pPr>
        <w:rPr>
          <w:sz w:val="24"/>
          <w:szCs w:val="24"/>
        </w:rPr>
      </w:pPr>
    </w:p>
    <w:p>
      <w:pPr>
        <w:rPr>
          <w:sz w:val="24"/>
          <w:szCs w:val="24"/>
        </w:rPr>
      </w:pPr>
    </w:p>
    <w:p>
      <w:pPr>
        <w:rPr>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投标询价、议价承诺函</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致：吉安市中心人民医院</w:t>
      </w:r>
    </w:p>
    <w:p>
      <w:pPr>
        <w:pStyle w:val="5"/>
        <w:spacing w:before="0" w:beforeAutospacing="0" w:after="360" w:afterAutospacing="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我单位在参加</w:t>
      </w:r>
      <w:r>
        <w:rPr>
          <w:rFonts w:hint="eastAsia" w:cs="Arial" w:asciiTheme="minorEastAsia" w:hAnsiTheme="minorEastAsia" w:eastAsiaTheme="minorEastAsia"/>
          <w:color w:val="333333"/>
        </w:rPr>
        <w:t>贵方</w:t>
      </w:r>
      <w:r>
        <w:rPr>
          <w:rFonts w:hint="eastAsia" w:asciiTheme="minorEastAsia" w:hAnsiTheme="minorEastAsia" w:eastAsiaTheme="minorEastAsia"/>
          <w:color w:val="333333"/>
          <w:shd w:val="clear" w:color="auto" w:fill="FFFFFF"/>
        </w:rPr>
        <w:t>部分＿＿＿＿＿＿</w:t>
      </w:r>
      <w:r>
        <w:rPr>
          <w:rFonts w:cs="Arial" w:asciiTheme="minorEastAsia" w:hAnsiTheme="minorEastAsia" w:eastAsiaTheme="minorEastAsia"/>
          <w:color w:val="333333"/>
        </w:rPr>
        <w:t>项目的</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活动中，郑重承诺如下：</w:t>
      </w:r>
    </w:p>
    <w:p>
      <w:pPr>
        <w:pStyle w:val="5"/>
        <w:spacing w:before="0" w:beforeAutospacing="0" w:after="360" w:afterAutospacing="0"/>
        <w:ind w:firstLine="360" w:firstLineChars="15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我方在此声明，本次</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w:t>
      </w:r>
      <w:r>
        <w:rPr>
          <w:rFonts w:hint="eastAsia" w:cs="Arial" w:asciiTheme="minorEastAsia" w:hAnsiTheme="minorEastAsia" w:eastAsiaTheme="minorEastAsia"/>
          <w:color w:val="333333"/>
        </w:rPr>
        <w:t>提供</w:t>
      </w:r>
      <w:r>
        <w:rPr>
          <w:rFonts w:cs="Arial" w:asciiTheme="minorEastAsia" w:hAnsiTheme="minorEastAsia" w:eastAsiaTheme="minorEastAsia"/>
          <w:color w:val="333333"/>
        </w:rPr>
        <w:t>的所有资料都是真实、准确完整的，</w:t>
      </w:r>
      <w:r>
        <w:rPr>
          <w:rFonts w:hint="eastAsia" w:asciiTheme="minorEastAsia" w:hAnsiTheme="minorEastAsia" w:eastAsiaTheme="minorEastAsia"/>
        </w:rPr>
        <w:t>所投产品＿＿＿＿品牌＿＿＿＿型号（品牌及规格型号）报价为江西省内同期、同型号、同品牌、</w:t>
      </w:r>
      <w:r>
        <w:rPr>
          <w:rFonts w:hint="eastAsia" w:cs="Arial" w:asciiTheme="minorEastAsia" w:hAnsiTheme="minorEastAsia" w:eastAsiaTheme="minorEastAsia"/>
          <w:color w:val="333333"/>
        </w:rPr>
        <w:t>同配置最低价，如因虚假资料、虚假报价所产生的一切后果完全由我方承担。</w:t>
      </w:r>
    </w:p>
    <w:p>
      <w:pPr>
        <w:pStyle w:val="5"/>
        <w:spacing w:before="0" w:beforeAutospacing="0" w:after="360" w:afterAutospacing="0"/>
        <w:ind w:firstLine="540"/>
        <w:textAlignment w:val="baseline"/>
        <w:rPr>
          <w:rFonts w:cs="Arial" w:asciiTheme="minorEastAsia" w:hAnsiTheme="minorEastAsia" w:eastAsiaTheme="minorEastAsia"/>
          <w:color w:val="333333"/>
        </w:rPr>
      </w:pPr>
    </w:p>
    <w:p>
      <w:pPr>
        <w:ind w:firstLine="240" w:firstLineChars="100"/>
        <w:rPr>
          <w:rFonts w:asciiTheme="minorEastAsia" w:hAnsiTheme="minorEastAsia"/>
          <w:sz w:val="24"/>
          <w:szCs w:val="24"/>
        </w:rPr>
      </w:pPr>
      <w:r>
        <w:rPr>
          <w:rFonts w:hint="eastAsia" w:asciiTheme="minorEastAsia" w:hAnsiTheme="minorEastAsia"/>
          <w:sz w:val="24"/>
          <w:szCs w:val="24"/>
        </w:rPr>
        <w:t>承诺人（投标企业）盖章：＿＿＿＿＿＿＿＿</w:t>
      </w:r>
    </w:p>
    <w:p>
      <w:pPr>
        <w:ind w:firstLine="240" w:firstLineChars="100"/>
        <w:rPr>
          <w:rFonts w:asciiTheme="minorEastAsia" w:hAnsiTheme="minorEastAsia"/>
          <w:sz w:val="24"/>
          <w:szCs w:val="24"/>
        </w:rPr>
      </w:pPr>
      <w:r>
        <w:rPr>
          <w:rFonts w:hint="eastAsia" w:asciiTheme="minorEastAsia" w:hAnsiTheme="minorEastAsia"/>
          <w:sz w:val="24"/>
          <w:szCs w:val="24"/>
        </w:rPr>
        <w:t>法定代表人签字：＿＿＿＿＿＿＿＿＿＿＿＿</w:t>
      </w:r>
    </w:p>
    <w:p>
      <w:pPr>
        <w:ind w:firstLine="240" w:firstLineChars="100"/>
        <w:rPr>
          <w:rFonts w:asciiTheme="minorEastAsia" w:hAnsiTheme="minorEastAsia"/>
          <w:sz w:val="24"/>
          <w:szCs w:val="24"/>
        </w:rPr>
      </w:pPr>
      <w:r>
        <w:rPr>
          <w:rFonts w:hint="eastAsia" w:asciiTheme="minorEastAsia" w:hAnsiTheme="minorEastAsia"/>
          <w:sz w:val="24"/>
          <w:szCs w:val="24"/>
        </w:rPr>
        <w:t>法定代表人电话：＿＿＿＿＿＿＿＿＿＿＿＿</w:t>
      </w:r>
    </w:p>
    <w:p>
      <w:pPr>
        <w:ind w:firstLine="240" w:firstLineChars="100"/>
        <w:rPr>
          <w:rFonts w:asciiTheme="minorEastAsia" w:hAnsiTheme="minorEastAsia"/>
          <w:sz w:val="24"/>
          <w:szCs w:val="24"/>
        </w:rPr>
      </w:pPr>
      <w:r>
        <w:rPr>
          <w:rFonts w:hint="eastAsia" w:asciiTheme="minorEastAsia" w:hAnsiTheme="minorEastAsia"/>
          <w:sz w:val="24"/>
          <w:szCs w:val="24"/>
        </w:rPr>
        <w:t>日          期： ＿＿＿年＿＿＿月＿＿＿日</w:t>
      </w:r>
    </w:p>
    <w:p>
      <w:pPr>
        <w:rPr>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81C83"/>
    <w:multiLevelType w:val="singleLevel"/>
    <w:tmpl w:val="98781C83"/>
    <w:lvl w:ilvl="0" w:tentative="0">
      <w:start w:val="1"/>
      <w:numFmt w:val="decimal"/>
      <w:lvlText w:val="%1."/>
      <w:lvlJc w:val="left"/>
      <w:pPr>
        <w:tabs>
          <w:tab w:val="left" w:pos="312"/>
        </w:tabs>
      </w:pPr>
    </w:lvl>
  </w:abstractNum>
  <w:abstractNum w:abstractNumId="1">
    <w:nsid w:val="59603521"/>
    <w:multiLevelType w:val="singleLevel"/>
    <w:tmpl w:val="5960352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6C4592"/>
    <w:rsid w:val="02963DFC"/>
    <w:rsid w:val="02B22C99"/>
    <w:rsid w:val="02DB2768"/>
    <w:rsid w:val="03760A36"/>
    <w:rsid w:val="03E31938"/>
    <w:rsid w:val="03E372CE"/>
    <w:rsid w:val="04214485"/>
    <w:rsid w:val="042D5ACB"/>
    <w:rsid w:val="04342DE5"/>
    <w:rsid w:val="04A80451"/>
    <w:rsid w:val="054F4E62"/>
    <w:rsid w:val="05E414D8"/>
    <w:rsid w:val="06732DD2"/>
    <w:rsid w:val="06B1763E"/>
    <w:rsid w:val="072E33F4"/>
    <w:rsid w:val="07D7113E"/>
    <w:rsid w:val="088B7712"/>
    <w:rsid w:val="08AA59B2"/>
    <w:rsid w:val="08FA5CE8"/>
    <w:rsid w:val="0B40190E"/>
    <w:rsid w:val="0B8E67E2"/>
    <w:rsid w:val="0D1D3292"/>
    <w:rsid w:val="0DD04666"/>
    <w:rsid w:val="0DD57ECC"/>
    <w:rsid w:val="0DF51265"/>
    <w:rsid w:val="0FA67E1C"/>
    <w:rsid w:val="10806817"/>
    <w:rsid w:val="11863E28"/>
    <w:rsid w:val="11BB604C"/>
    <w:rsid w:val="11C444E1"/>
    <w:rsid w:val="12887BC1"/>
    <w:rsid w:val="135A76B3"/>
    <w:rsid w:val="147556AF"/>
    <w:rsid w:val="14E35709"/>
    <w:rsid w:val="15EF0FCE"/>
    <w:rsid w:val="15FB30C8"/>
    <w:rsid w:val="16353C00"/>
    <w:rsid w:val="17792AAB"/>
    <w:rsid w:val="187F5606"/>
    <w:rsid w:val="18DE057F"/>
    <w:rsid w:val="18DF7E53"/>
    <w:rsid w:val="1931504F"/>
    <w:rsid w:val="19F058B3"/>
    <w:rsid w:val="1A02204B"/>
    <w:rsid w:val="1ACB7EC9"/>
    <w:rsid w:val="1AE856E5"/>
    <w:rsid w:val="1B6603B7"/>
    <w:rsid w:val="1B742AD4"/>
    <w:rsid w:val="1BFE2CE6"/>
    <w:rsid w:val="1E3B3D7D"/>
    <w:rsid w:val="1E48649A"/>
    <w:rsid w:val="1EDC6F54"/>
    <w:rsid w:val="1F6B78C0"/>
    <w:rsid w:val="1FDD0560"/>
    <w:rsid w:val="20947775"/>
    <w:rsid w:val="20EF0E4F"/>
    <w:rsid w:val="20F5687C"/>
    <w:rsid w:val="2173655D"/>
    <w:rsid w:val="21757025"/>
    <w:rsid w:val="21EB7868"/>
    <w:rsid w:val="226E1867"/>
    <w:rsid w:val="234C7D4F"/>
    <w:rsid w:val="2409047A"/>
    <w:rsid w:val="24134E54"/>
    <w:rsid w:val="25166FF2"/>
    <w:rsid w:val="256002C8"/>
    <w:rsid w:val="2580651A"/>
    <w:rsid w:val="25C1725E"/>
    <w:rsid w:val="25F0173F"/>
    <w:rsid w:val="262241EA"/>
    <w:rsid w:val="266240CD"/>
    <w:rsid w:val="26644CF8"/>
    <w:rsid w:val="268B33C8"/>
    <w:rsid w:val="272C6959"/>
    <w:rsid w:val="27766813"/>
    <w:rsid w:val="2781521D"/>
    <w:rsid w:val="2789416A"/>
    <w:rsid w:val="282D4FFC"/>
    <w:rsid w:val="283C5022"/>
    <w:rsid w:val="28CD7CC8"/>
    <w:rsid w:val="29146FF1"/>
    <w:rsid w:val="291E0523"/>
    <w:rsid w:val="295E31DA"/>
    <w:rsid w:val="2A2E6A0E"/>
    <w:rsid w:val="2A64465C"/>
    <w:rsid w:val="2AAE58D7"/>
    <w:rsid w:val="2AC17053"/>
    <w:rsid w:val="2B1E480B"/>
    <w:rsid w:val="2B655410"/>
    <w:rsid w:val="2BE258E9"/>
    <w:rsid w:val="2CC220CB"/>
    <w:rsid w:val="2E756E38"/>
    <w:rsid w:val="2EDF69A7"/>
    <w:rsid w:val="2F3838CC"/>
    <w:rsid w:val="2F5B28C9"/>
    <w:rsid w:val="2F77098D"/>
    <w:rsid w:val="30E262DA"/>
    <w:rsid w:val="30E87D95"/>
    <w:rsid w:val="324A73AD"/>
    <w:rsid w:val="32870EE7"/>
    <w:rsid w:val="32FD7C0C"/>
    <w:rsid w:val="33192C4B"/>
    <w:rsid w:val="33323549"/>
    <w:rsid w:val="33435332"/>
    <w:rsid w:val="3370246B"/>
    <w:rsid w:val="34597AD9"/>
    <w:rsid w:val="35047349"/>
    <w:rsid w:val="35281681"/>
    <w:rsid w:val="35656898"/>
    <w:rsid w:val="364517E5"/>
    <w:rsid w:val="3699443D"/>
    <w:rsid w:val="36E70D89"/>
    <w:rsid w:val="380C64FB"/>
    <w:rsid w:val="386A3D5A"/>
    <w:rsid w:val="386C17A3"/>
    <w:rsid w:val="38CA4224"/>
    <w:rsid w:val="38FD1C63"/>
    <w:rsid w:val="390E64C0"/>
    <w:rsid w:val="39B61056"/>
    <w:rsid w:val="3A801003"/>
    <w:rsid w:val="3ADD7E34"/>
    <w:rsid w:val="3C0A5218"/>
    <w:rsid w:val="3C4564D3"/>
    <w:rsid w:val="3C6A368A"/>
    <w:rsid w:val="3C9F7A4A"/>
    <w:rsid w:val="3D363C36"/>
    <w:rsid w:val="3DEA5163"/>
    <w:rsid w:val="3E8B6203"/>
    <w:rsid w:val="3EDE27D7"/>
    <w:rsid w:val="3F237E46"/>
    <w:rsid w:val="3F2C3542"/>
    <w:rsid w:val="40743CB3"/>
    <w:rsid w:val="40CA2FAF"/>
    <w:rsid w:val="410D2F00"/>
    <w:rsid w:val="41E77BF5"/>
    <w:rsid w:val="41FD11C6"/>
    <w:rsid w:val="42025BE2"/>
    <w:rsid w:val="420D1477"/>
    <w:rsid w:val="42530DE6"/>
    <w:rsid w:val="42F419B6"/>
    <w:rsid w:val="443B46BF"/>
    <w:rsid w:val="4475773A"/>
    <w:rsid w:val="45260A34"/>
    <w:rsid w:val="45A858ED"/>
    <w:rsid w:val="45E87A97"/>
    <w:rsid w:val="466A47F7"/>
    <w:rsid w:val="467E7FA2"/>
    <w:rsid w:val="468D3EDC"/>
    <w:rsid w:val="48126F50"/>
    <w:rsid w:val="486C49B0"/>
    <w:rsid w:val="48E34CAE"/>
    <w:rsid w:val="4AFF5FAF"/>
    <w:rsid w:val="4B817F88"/>
    <w:rsid w:val="4BA608E8"/>
    <w:rsid w:val="4BC10A69"/>
    <w:rsid w:val="4BCB0F4B"/>
    <w:rsid w:val="4BF076A6"/>
    <w:rsid w:val="4C8C73CE"/>
    <w:rsid w:val="4CAB6E28"/>
    <w:rsid w:val="4CFE5DF2"/>
    <w:rsid w:val="4DA22C22"/>
    <w:rsid w:val="4EE9189F"/>
    <w:rsid w:val="4F1C53DA"/>
    <w:rsid w:val="4F4C1097"/>
    <w:rsid w:val="4FDF29B2"/>
    <w:rsid w:val="50100719"/>
    <w:rsid w:val="501C0736"/>
    <w:rsid w:val="50925430"/>
    <w:rsid w:val="51E97071"/>
    <w:rsid w:val="52426C5E"/>
    <w:rsid w:val="53EE4E13"/>
    <w:rsid w:val="54274540"/>
    <w:rsid w:val="54FA7A9E"/>
    <w:rsid w:val="55256273"/>
    <w:rsid w:val="55535184"/>
    <w:rsid w:val="55983288"/>
    <w:rsid w:val="56C65BD3"/>
    <w:rsid w:val="56CB4CE1"/>
    <w:rsid w:val="56D26326"/>
    <w:rsid w:val="56D4209E"/>
    <w:rsid w:val="580B5F93"/>
    <w:rsid w:val="5875340D"/>
    <w:rsid w:val="58910DE8"/>
    <w:rsid w:val="594F0101"/>
    <w:rsid w:val="59BC506B"/>
    <w:rsid w:val="59E56370"/>
    <w:rsid w:val="5A8E2EAB"/>
    <w:rsid w:val="5AD05272"/>
    <w:rsid w:val="5B3B47F0"/>
    <w:rsid w:val="5B555777"/>
    <w:rsid w:val="5BF46D3E"/>
    <w:rsid w:val="5D2D075A"/>
    <w:rsid w:val="5D645056"/>
    <w:rsid w:val="5DCF7A63"/>
    <w:rsid w:val="5E0744EC"/>
    <w:rsid w:val="5E146A5A"/>
    <w:rsid w:val="60235E44"/>
    <w:rsid w:val="60471B32"/>
    <w:rsid w:val="60956D42"/>
    <w:rsid w:val="60C5514D"/>
    <w:rsid w:val="60DE4A28"/>
    <w:rsid w:val="60F35085"/>
    <w:rsid w:val="631F22F8"/>
    <w:rsid w:val="634821C8"/>
    <w:rsid w:val="63526405"/>
    <w:rsid w:val="63BB49CD"/>
    <w:rsid w:val="640F6E0B"/>
    <w:rsid w:val="64964A96"/>
    <w:rsid w:val="64FB2EEB"/>
    <w:rsid w:val="654900FB"/>
    <w:rsid w:val="6560706A"/>
    <w:rsid w:val="65654544"/>
    <w:rsid w:val="65AB2B63"/>
    <w:rsid w:val="65BD4645"/>
    <w:rsid w:val="669F0762"/>
    <w:rsid w:val="66B9305E"/>
    <w:rsid w:val="66D439F4"/>
    <w:rsid w:val="66F253BE"/>
    <w:rsid w:val="671A51EF"/>
    <w:rsid w:val="67B76A09"/>
    <w:rsid w:val="683F5106"/>
    <w:rsid w:val="68776D2D"/>
    <w:rsid w:val="68B93350"/>
    <w:rsid w:val="69470DF5"/>
    <w:rsid w:val="69BF58AF"/>
    <w:rsid w:val="69F170E0"/>
    <w:rsid w:val="6B0E4AAC"/>
    <w:rsid w:val="6B9B51DC"/>
    <w:rsid w:val="6BBC4BAC"/>
    <w:rsid w:val="6D2A61A5"/>
    <w:rsid w:val="6DB17DC0"/>
    <w:rsid w:val="6E056B89"/>
    <w:rsid w:val="6E3A0F28"/>
    <w:rsid w:val="6EDC5B3C"/>
    <w:rsid w:val="6F743FC6"/>
    <w:rsid w:val="6FBE7A30"/>
    <w:rsid w:val="6FF42A24"/>
    <w:rsid w:val="70582F59"/>
    <w:rsid w:val="70E04929"/>
    <w:rsid w:val="7190494A"/>
    <w:rsid w:val="72014FAE"/>
    <w:rsid w:val="72444124"/>
    <w:rsid w:val="72A8634B"/>
    <w:rsid w:val="730E04B9"/>
    <w:rsid w:val="731B11E1"/>
    <w:rsid w:val="735B1DDE"/>
    <w:rsid w:val="739449FB"/>
    <w:rsid w:val="74085576"/>
    <w:rsid w:val="744179A0"/>
    <w:rsid w:val="74C2787E"/>
    <w:rsid w:val="753348CC"/>
    <w:rsid w:val="75475CD9"/>
    <w:rsid w:val="7561323F"/>
    <w:rsid w:val="768371E5"/>
    <w:rsid w:val="76BF4F23"/>
    <w:rsid w:val="77003BA5"/>
    <w:rsid w:val="77042905"/>
    <w:rsid w:val="77C24A29"/>
    <w:rsid w:val="781E1C75"/>
    <w:rsid w:val="78F97604"/>
    <w:rsid w:val="78FC4F0A"/>
    <w:rsid w:val="79246A5D"/>
    <w:rsid w:val="7A0304D2"/>
    <w:rsid w:val="7A251B8D"/>
    <w:rsid w:val="7AB05DB1"/>
    <w:rsid w:val="7B5A3ACE"/>
    <w:rsid w:val="7B8D6968"/>
    <w:rsid w:val="7C52568F"/>
    <w:rsid w:val="7DA568A7"/>
    <w:rsid w:val="7DAA17CC"/>
    <w:rsid w:val="7EA06B86"/>
    <w:rsid w:val="7EDC74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530</Words>
  <Characters>3022</Characters>
  <Lines>25</Lines>
  <Paragraphs>7</Paragraphs>
  <TotalTime>0</TotalTime>
  <ScaleCrop>false</ScaleCrop>
  <LinksUpToDate>false</LinksUpToDate>
  <CharactersWithSpaces>3545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2024-06-05T06:25:56Z</cp:lastPrinted>
  <dcterms:modified xsi:type="dcterms:W3CDTF">2024-06-05T08:47:03Z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6F5AE79ED9EE404C8CC753D2B5DA82BD_13</vt:lpwstr>
  </property>
  <property fmtid="{D5CDD505-2E9C-101B-9397-08002B2CF9AE}" pid="4" name="commondata">
    <vt:lpwstr>eyJoZGlkIjoiYTQ0ZWM0MDkxZGVlMDc2MGI3OTc3NGE1ZGI1ZGU5OTkifQ==</vt:lpwstr>
  </property>
</Properties>
</file>